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B9" w:rsidRPr="00264E61" w:rsidRDefault="00913406">
      <w:pPr>
        <w:rPr>
          <w:rFonts w:ascii="Bookman Old Style" w:hAnsi="Bookman Old Style"/>
          <w:color w:val="17365D" w:themeColor="text2" w:themeShade="BF"/>
          <w:sz w:val="18"/>
          <w:szCs w:val="18"/>
        </w:rPr>
      </w:pPr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GLAZBENA ŠKOLA</w:t>
      </w:r>
      <w:r w:rsidR="001D622A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VATROSLAVA LISINSKOG</w:t>
      </w:r>
    </w:p>
    <w:p w:rsidR="00913406" w:rsidRPr="00264E61" w:rsidRDefault="00913406">
      <w:pPr>
        <w:rPr>
          <w:rFonts w:ascii="Bookman Old Style" w:hAnsi="Bookman Old Style"/>
          <w:color w:val="17365D" w:themeColor="text2" w:themeShade="BF"/>
          <w:sz w:val="18"/>
          <w:szCs w:val="18"/>
        </w:rPr>
      </w:pPr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 xml:space="preserve">Zagreb, </w:t>
      </w:r>
      <w:proofErr w:type="spellStart"/>
      <w:r w:rsidR="001D622A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Gundulićeva</w:t>
      </w:r>
      <w:proofErr w:type="spellEnd"/>
      <w:r w:rsidR="001D622A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 xml:space="preserve"> 4</w:t>
      </w:r>
    </w:p>
    <w:p w:rsidR="00913406" w:rsidRPr="00264E61" w:rsidRDefault="00D40DEC">
      <w:pPr>
        <w:rPr>
          <w:rFonts w:ascii="Bookman Old Style" w:hAnsi="Bookman Old Style"/>
          <w:color w:val="17365D" w:themeColor="text2" w:themeShade="BF"/>
          <w:sz w:val="18"/>
          <w:szCs w:val="18"/>
        </w:rPr>
      </w:pPr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Zagreb, 31.12</w:t>
      </w:r>
      <w:r w:rsidR="00615CCF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.202</w:t>
      </w:r>
      <w:r w:rsidR="0096074C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1</w:t>
      </w:r>
      <w:r w:rsidR="00615CCF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.</w:t>
      </w:r>
    </w:p>
    <w:p w:rsidR="00913406" w:rsidRPr="00264E61" w:rsidRDefault="00913406" w:rsidP="00913406">
      <w:pPr>
        <w:jc w:val="center"/>
        <w:rPr>
          <w:rFonts w:ascii="Bookman Old Style" w:hAnsi="Bookman Old Style"/>
          <w:color w:val="17365D" w:themeColor="text2" w:themeShade="BF"/>
          <w:sz w:val="18"/>
          <w:szCs w:val="18"/>
        </w:rPr>
      </w:pPr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BILJEŠKE UZ FINANCIJSKI IZVJEŠTAJ ZA RAZDOBLJE</w:t>
      </w:r>
    </w:p>
    <w:p w:rsidR="00913406" w:rsidRPr="00264E61" w:rsidRDefault="00D40DEC" w:rsidP="00615CCF">
      <w:pPr>
        <w:jc w:val="center"/>
        <w:rPr>
          <w:rFonts w:ascii="Bookman Old Style" w:hAnsi="Bookman Old Style"/>
          <w:color w:val="17365D" w:themeColor="text2" w:themeShade="BF"/>
          <w:sz w:val="18"/>
          <w:szCs w:val="18"/>
        </w:rPr>
      </w:pPr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OD 01.01.202</w:t>
      </w:r>
      <w:r w:rsidR="0096074C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1</w:t>
      </w:r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. DO 31.12.202</w:t>
      </w:r>
      <w:r w:rsidR="0096074C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1</w:t>
      </w:r>
      <w:r w:rsidR="00615CCF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.</w:t>
      </w:r>
    </w:p>
    <w:p w:rsidR="00913406" w:rsidRPr="00EC5746" w:rsidRDefault="00913406" w:rsidP="00913406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BILJEŠKA br.1</w:t>
      </w:r>
    </w:p>
    <w:p w:rsidR="00913406" w:rsidRPr="00EC5746" w:rsidRDefault="001D622A" w:rsidP="00913406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PR-RAS – AOP 064</w:t>
      </w:r>
    </w:p>
    <w:p w:rsidR="0096074C" w:rsidRPr="00EC5746" w:rsidRDefault="00913406" w:rsidP="00913406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Tekuće pomoći proračunskim korisnicima iz proračuna koji </w:t>
      </w:r>
      <w:r w:rsidR="00921019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nam</w:t>
      </w: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nije na</w:t>
      </w:r>
      <w:r w:rsidR="00D40DEC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dležan u iznosu od </w:t>
      </w:r>
      <w:r w:rsidR="0096074C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12.112.466,67</w:t>
      </w: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kn odnosi se na sredstva z</w:t>
      </w:r>
      <w:r w:rsidR="001D622A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a plaće. </w:t>
      </w:r>
      <w:r w:rsidR="00B34703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</w:t>
      </w:r>
    </w:p>
    <w:p w:rsidR="001C32A5" w:rsidRPr="00EC5746" w:rsidRDefault="001C32A5" w:rsidP="00913406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BILJEŠKA BR. 2</w:t>
      </w:r>
    </w:p>
    <w:p w:rsidR="0096074C" w:rsidRPr="00EC5746" w:rsidRDefault="0096074C" w:rsidP="00913406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PR-RAS – AOP 065</w:t>
      </w:r>
    </w:p>
    <w:p w:rsidR="001C32A5" w:rsidRPr="00EC5746" w:rsidRDefault="001C32A5" w:rsidP="00913406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Kapitalne pomoći iz proračuna koji nam nije nadležan iznose </w:t>
      </w:r>
      <w:r w:rsidR="0096074C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3.250,00</w:t>
      </w: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za lektiru</w:t>
      </w:r>
      <w:r w:rsidR="003228F2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.</w:t>
      </w:r>
    </w:p>
    <w:p w:rsidR="00B34703" w:rsidRPr="00EC5746" w:rsidRDefault="001C32A5" w:rsidP="00B34703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BILJEŠKA br.3</w:t>
      </w:r>
    </w:p>
    <w:p w:rsidR="00B34703" w:rsidRPr="00EC5746" w:rsidRDefault="00B34703" w:rsidP="00B34703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PR-RAS – AOP 11</w:t>
      </w:r>
      <w:r w:rsidR="0096074C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2</w:t>
      </w:r>
    </w:p>
    <w:p w:rsidR="00B34703" w:rsidRPr="00EC5746" w:rsidRDefault="00B34703" w:rsidP="00B34703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Ostali nespomenuti</w:t>
      </w:r>
      <w:r w:rsidR="00D40DEC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prihodi u iznosu od </w:t>
      </w:r>
      <w:r w:rsidR="0096074C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1.045.281,24 </w:t>
      </w: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kn odnose se na participaciju učenika. Sredstva participacije se koriste za opremanje programa škole.</w:t>
      </w:r>
    </w:p>
    <w:p w:rsidR="00B34703" w:rsidRPr="00EC5746" w:rsidRDefault="00B34703" w:rsidP="00B34703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B</w:t>
      </w:r>
      <w:r w:rsidR="001C32A5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ILJEŠKA br.4</w:t>
      </w:r>
    </w:p>
    <w:p w:rsidR="00B34703" w:rsidRPr="00EC5746" w:rsidRDefault="00B34703" w:rsidP="00B34703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PR-RAS – AOP 13</w:t>
      </w:r>
      <w:r w:rsidR="0096074C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0</w:t>
      </w:r>
    </w:p>
    <w:p w:rsidR="00B34703" w:rsidRPr="00EC5746" w:rsidRDefault="00B34703" w:rsidP="00B34703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Prihodi iz nadležnog proračuna za financiranje rashoda </w:t>
      </w:r>
      <w:r w:rsidR="00D40DEC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poslovanja u iznosu </w:t>
      </w:r>
      <w:r w:rsidR="0096074C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751.478,23</w:t>
      </w: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kn – su sredstva Gradskog ureda za obrazovanje</w:t>
      </w:r>
      <w:r w:rsidR="0016588D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, sport i mlade</w:t>
      </w: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za materijalne troškove.</w:t>
      </w:r>
    </w:p>
    <w:p w:rsidR="0096074C" w:rsidRPr="00EC5746" w:rsidRDefault="0096074C" w:rsidP="0096074C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BILJEŠKA br.5</w:t>
      </w:r>
    </w:p>
    <w:p w:rsidR="00130E65" w:rsidRPr="00EC5746" w:rsidRDefault="00130E65" w:rsidP="0096074C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PR-RAS – AOP 131</w:t>
      </w:r>
    </w:p>
    <w:p w:rsidR="0096074C" w:rsidRPr="00EC5746" w:rsidRDefault="0096074C" w:rsidP="00B34703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Kapitalne pomoći iz </w:t>
      </w:r>
      <w:r w:rsidR="0016588D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nadležnog proračuna</w:t>
      </w: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</w:t>
      </w:r>
      <w:r w:rsidR="003228F2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iznose </w:t>
      </w: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5.823,09 za lektiru</w:t>
      </w:r>
      <w:r w:rsidR="003228F2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.</w:t>
      </w:r>
    </w:p>
    <w:p w:rsidR="002D50B9" w:rsidRPr="00EC5746" w:rsidRDefault="001C32A5" w:rsidP="00B34703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BILJEŠKA br.</w:t>
      </w:r>
      <w:r w:rsidR="0096074C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6</w:t>
      </w:r>
    </w:p>
    <w:p w:rsidR="00A44C2E" w:rsidRPr="00EC5746" w:rsidRDefault="00A44C2E" w:rsidP="00A44C2E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PR-RAS – AOP 63</w:t>
      </w:r>
      <w:r w:rsidR="00F32604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8</w:t>
      </w:r>
    </w:p>
    <w:p w:rsidR="00A44C2E" w:rsidRPr="00EC5746" w:rsidRDefault="00A44C2E" w:rsidP="00A44C2E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Višak prihoda od participacije učenika škola će u narednom razdoblju upotrijebiti za nabavu nove i održavanje postojeće opreme.</w:t>
      </w:r>
    </w:p>
    <w:p w:rsidR="00A44C2E" w:rsidRPr="00EC5746" w:rsidRDefault="002D50B9" w:rsidP="00A44C2E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BILJEŠKA br.</w:t>
      </w:r>
      <w:r w:rsidR="0096074C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7</w:t>
      </w:r>
    </w:p>
    <w:p w:rsidR="000C6661" w:rsidRPr="00EC5746" w:rsidRDefault="00615CCF" w:rsidP="00A44C2E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OBVEZE</w:t>
      </w:r>
      <w:r w:rsidR="000C6661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</w:t>
      </w: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</w:t>
      </w:r>
    </w:p>
    <w:p w:rsidR="00EC5746" w:rsidRPr="00EC5746" w:rsidRDefault="001919F0" w:rsidP="00EC5746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Obveze u iznosu </w:t>
      </w:r>
      <w:r w:rsidR="00990A80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1.160.147,76</w:t>
      </w:r>
      <w:r w:rsidR="00A44C2E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kn odnose se</w:t>
      </w: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na rezerviranu plaću za 12-2021</w:t>
      </w:r>
      <w:r w:rsidR="00A44C2E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. </w:t>
      </w:r>
      <w:r w:rsidR="000C6661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i</w:t>
      </w:r>
      <w:r w:rsidR="00A44C2E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neplaćene</w:t>
      </w: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račune s rokom dospijeća u 202</w:t>
      </w:r>
      <w:r w:rsidR="00990A80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2</w:t>
      </w:r>
      <w:r w:rsidR="00A44C2E"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. god.</w:t>
      </w:r>
    </w:p>
    <w:p w:rsidR="00EC5746" w:rsidRPr="00EC5746" w:rsidRDefault="00EC5746" w:rsidP="00EC5746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 xml:space="preserve"> </w:t>
      </w: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BILJEŠKA br.</w:t>
      </w: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8</w:t>
      </w:r>
    </w:p>
    <w:p w:rsidR="002D50B9" w:rsidRPr="00EC5746" w:rsidRDefault="00EC5746" w:rsidP="00A44C2E">
      <w:pPr>
        <w:rPr>
          <w:rFonts w:ascii="Bookman Old Style" w:hAnsi="Bookman Old Style"/>
          <w:color w:val="17365D" w:themeColor="text2" w:themeShade="BF"/>
          <w:sz w:val="16"/>
          <w:szCs w:val="16"/>
        </w:rPr>
      </w:pPr>
      <w:r w:rsidRPr="00EC5746">
        <w:rPr>
          <w:rFonts w:ascii="Bookman Old Style" w:hAnsi="Bookman Old Style"/>
          <w:color w:val="17365D" w:themeColor="text2" w:themeShade="BF"/>
          <w:sz w:val="16"/>
          <w:szCs w:val="16"/>
        </w:rPr>
        <w:t>Obvezne bilješke uz Bilancu iz članka 14. Pravilnika o financijskom izvještavanju u proračunskom računovodstvu ne iskazuje se jer Škola takve podatke nema iskazane u svojim poslovnim knjigama i Bilanci.</w:t>
      </w:r>
    </w:p>
    <w:p w:rsidR="00615CCF" w:rsidRPr="00264E61" w:rsidRDefault="001D622A" w:rsidP="00A44C2E">
      <w:pPr>
        <w:rPr>
          <w:rFonts w:ascii="Bookman Old Style" w:hAnsi="Bookman Old Style"/>
          <w:color w:val="17365D" w:themeColor="text2" w:themeShade="BF"/>
          <w:sz w:val="18"/>
          <w:szCs w:val="18"/>
        </w:rPr>
      </w:pPr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Računovođa</w:t>
      </w:r>
      <w:r w:rsidR="00615CCF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:</w:t>
      </w:r>
      <w:r w:rsidR="00615CCF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ab/>
      </w:r>
      <w:r w:rsidR="00615CCF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ab/>
      </w:r>
      <w:r w:rsidR="00615CCF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ab/>
      </w:r>
      <w:r w:rsidR="00615CCF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ab/>
      </w:r>
      <w:r w:rsidR="00615CCF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ab/>
      </w:r>
      <w:r w:rsidR="00615CCF"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ab/>
        <w:t>Ravnatelj:</w:t>
      </w:r>
    </w:p>
    <w:p w:rsidR="00615CCF" w:rsidRPr="00264E61" w:rsidRDefault="001D622A" w:rsidP="00A44C2E">
      <w:pPr>
        <w:rPr>
          <w:rFonts w:ascii="Bookman Old Style" w:hAnsi="Bookman Old Style"/>
          <w:color w:val="17365D" w:themeColor="text2" w:themeShade="BF"/>
          <w:sz w:val="18"/>
          <w:szCs w:val="18"/>
        </w:rPr>
      </w:pPr>
      <w:proofErr w:type="spellStart"/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Davor</w:t>
      </w:r>
      <w:proofErr w:type="spellEnd"/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 xml:space="preserve"> Muža</w:t>
      </w:r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ab/>
      </w:r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ab/>
      </w:r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ab/>
      </w:r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ab/>
      </w:r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ab/>
      </w:r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ab/>
        <w:t xml:space="preserve">Antonio </w:t>
      </w:r>
      <w:proofErr w:type="spellStart"/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Mrčela</w:t>
      </w:r>
      <w:proofErr w:type="spellEnd"/>
      <w:r w:rsidRPr="00264E61">
        <w:rPr>
          <w:rFonts w:ascii="Bookman Old Style" w:hAnsi="Bookman Old Style"/>
          <w:color w:val="17365D" w:themeColor="text2" w:themeShade="BF"/>
          <w:sz w:val="18"/>
          <w:szCs w:val="18"/>
        </w:rPr>
        <w:t>, prof.</w:t>
      </w:r>
      <w:bookmarkStart w:id="0" w:name="_GoBack"/>
      <w:bookmarkEnd w:id="0"/>
    </w:p>
    <w:sectPr w:rsidR="00615CCF" w:rsidRPr="0026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06"/>
    <w:rsid w:val="00031D21"/>
    <w:rsid w:val="000C6661"/>
    <w:rsid w:val="00130E65"/>
    <w:rsid w:val="0016588D"/>
    <w:rsid w:val="001919F0"/>
    <w:rsid w:val="001C32A5"/>
    <w:rsid w:val="001D622A"/>
    <w:rsid w:val="00264E61"/>
    <w:rsid w:val="002D50B9"/>
    <w:rsid w:val="003228F2"/>
    <w:rsid w:val="00615CCF"/>
    <w:rsid w:val="0069242F"/>
    <w:rsid w:val="00913406"/>
    <w:rsid w:val="00921019"/>
    <w:rsid w:val="0096074C"/>
    <w:rsid w:val="00990A80"/>
    <w:rsid w:val="00A44C2E"/>
    <w:rsid w:val="00B34703"/>
    <w:rsid w:val="00BD139E"/>
    <w:rsid w:val="00BE4AA6"/>
    <w:rsid w:val="00D40DEC"/>
    <w:rsid w:val="00DC0773"/>
    <w:rsid w:val="00EC5746"/>
    <w:rsid w:val="00F32604"/>
    <w:rsid w:val="00F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685A"/>
  <w15:docId w15:val="{B9CC56B4-2ED3-4C82-8AA2-45FA3ACB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 Muža</cp:lastModifiedBy>
  <cp:revision>11</cp:revision>
  <cp:lastPrinted>2022-01-21T14:05:00Z</cp:lastPrinted>
  <dcterms:created xsi:type="dcterms:W3CDTF">2022-01-21T13:21:00Z</dcterms:created>
  <dcterms:modified xsi:type="dcterms:W3CDTF">2022-01-25T09:10:00Z</dcterms:modified>
</cp:coreProperties>
</file>